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43F8" w:rsidRDefault="00D744D5" w:rsidP="00D744D5">
      <w:pPr>
        <w:spacing w:after="0"/>
        <w:jc w:val="center"/>
        <w:rPr>
          <w:b/>
          <w:sz w:val="24"/>
        </w:rPr>
      </w:pPr>
      <w:bookmarkStart w:id="0" w:name="_GoBack"/>
      <w:r w:rsidRPr="000C69D2">
        <w:rPr>
          <w:noProof/>
        </w:rPr>
        <w:drawing>
          <wp:inline distT="0" distB="0" distL="0" distR="0">
            <wp:extent cx="2505075" cy="981075"/>
            <wp:effectExtent l="0" t="0" r="9525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984" r="-1558" b="9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A43F8" w:rsidRDefault="009A43F8" w:rsidP="009A43F8">
      <w:pPr>
        <w:spacing w:after="0"/>
        <w:rPr>
          <w:b/>
          <w:sz w:val="24"/>
        </w:rPr>
      </w:pPr>
    </w:p>
    <w:p w:rsidR="009A43F8" w:rsidRDefault="009A43F8" w:rsidP="00DC043B">
      <w:pPr>
        <w:jc w:val="center"/>
        <w:rPr>
          <w:b/>
          <w:sz w:val="24"/>
        </w:rPr>
      </w:pPr>
    </w:p>
    <w:p w:rsidR="009A43F8" w:rsidRDefault="009A43F8" w:rsidP="00DC043B">
      <w:pPr>
        <w:jc w:val="center"/>
        <w:rPr>
          <w:b/>
          <w:sz w:val="24"/>
        </w:rPr>
      </w:pPr>
    </w:p>
    <w:p w:rsidR="009D073F" w:rsidRPr="00F8379C" w:rsidRDefault="00F8379C" w:rsidP="000E5C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</w:rPr>
      </w:pPr>
      <w:r w:rsidRPr="00F8379C">
        <w:rPr>
          <w:b/>
          <w:sz w:val="24"/>
        </w:rPr>
        <w:t xml:space="preserve">Procédure de demande </w:t>
      </w:r>
      <w:r w:rsidR="001F0C71">
        <w:rPr>
          <w:b/>
          <w:sz w:val="24"/>
        </w:rPr>
        <w:t>de</w:t>
      </w:r>
      <w:r w:rsidRPr="00F8379C">
        <w:rPr>
          <w:b/>
          <w:sz w:val="24"/>
        </w:rPr>
        <w:t xml:space="preserve"> reconnaissance de la mobilité i</w:t>
      </w:r>
      <w:r w:rsidR="009A2FD8">
        <w:rPr>
          <w:b/>
          <w:sz w:val="24"/>
        </w:rPr>
        <w:t>nternationale pendant l</w:t>
      </w:r>
      <w:r w:rsidR="00DC043B">
        <w:rPr>
          <w:b/>
          <w:sz w:val="24"/>
        </w:rPr>
        <w:t>a thèse (supplément au diplôme)</w:t>
      </w:r>
    </w:p>
    <w:p w:rsidR="00F8379C" w:rsidRDefault="00F8379C"/>
    <w:p w:rsidR="00A24D60" w:rsidRPr="00A24D60" w:rsidRDefault="00A24D60" w:rsidP="00A24D60">
      <w:pPr>
        <w:jc w:val="both"/>
        <w:rPr>
          <w:b/>
        </w:rPr>
      </w:pPr>
      <w:r w:rsidRPr="00A24D60">
        <w:rPr>
          <w:b/>
        </w:rPr>
        <w:t>Le supplément au diplôme</w:t>
      </w:r>
      <w:r w:rsidR="00DD1C7A" w:rsidRPr="00DF5FC7">
        <w:rPr>
          <w:rFonts w:ascii="Roboto" w:hAnsi="Roboto" w:cs="Arial"/>
          <w:sz w:val="14"/>
          <w:vertAlign w:val="superscript"/>
        </w:rPr>
        <w:footnoteRef/>
      </w:r>
      <w:r w:rsidR="00DD1C7A" w:rsidRPr="007D0AE6">
        <w:rPr>
          <w:rFonts w:ascii="Roboto" w:hAnsi="Roboto" w:cs="Arial"/>
          <w:sz w:val="14"/>
        </w:rPr>
        <w:t> </w:t>
      </w:r>
      <w:r w:rsidRPr="00A24D60">
        <w:rPr>
          <w:b/>
        </w:rPr>
        <w:t xml:space="preserve"> pour la reconnaissance de la mobilité internationale durant la thèse permet de valoriser un séjour de recherche dans un établissement d’enseignement supérieur et/ou de recherche à l’étranger. La cotutelle étant reconnue par la double diplomation ne peut faire l’objet de cette reconnaissance.</w:t>
      </w:r>
    </w:p>
    <w:p w:rsidR="00D161D3" w:rsidRDefault="00A24D60" w:rsidP="00A24D60">
      <w:pPr>
        <w:jc w:val="both"/>
      </w:pPr>
      <w:r>
        <w:t>Le doctorant</w:t>
      </w:r>
      <w:r w:rsidR="00F8379C">
        <w:t xml:space="preserve"> </w:t>
      </w:r>
      <w:r>
        <w:t>doit</w:t>
      </w:r>
      <w:r w:rsidR="00F8379C">
        <w:t xml:space="preserve"> </w:t>
      </w:r>
      <w:r>
        <w:t xml:space="preserve">en </w:t>
      </w:r>
      <w:r w:rsidR="00F8379C">
        <w:t xml:space="preserve">faire </w:t>
      </w:r>
      <w:r>
        <w:t>la</w:t>
      </w:r>
      <w:r w:rsidR="00F8379C">
        <w:t xml:space="preserve"> demande au moment d</w:t>
      </w:r>
      <w:r w:rsidR="00D161D3">
        <w:t xml:space="preserve">u </w:t>
      </w:r>
      <w:r>
        <w:t>dépôt</w:t>
      </w:r>
      <w:r w:rsidR="00D161D3">
        <w:t xml:space="preserve"> de dossier de soutenance auprès du service de scolarité </w:t>
      </w:r>
      <w:r>
        <w:t>doctorat de son établissement d’inscription.</w:t>
      </w:r>
    </w:p>
    <w:p w:rsidR="00F8379C" w:rsidRDefault="00A24D60" w:rsidP="00A24D60">
      <w:pPr>
        <w:jc w:val="both"/>
      </w:pPr>
      <w:r>
        <w:t>Le</w:t>
      </w:r>
      <w:r w:rsidR="00F8379C">
        <w:t xml:space="preserve"> formulaire de </w:t>
      </w:r>
      <w:r w:rsidR="00D161D3">
        <w:t xml:space="preserve">demande </w:t>
      </w:r>
      <w:r>
        <w:t>est à retirer ou télécharger</w:t>
      </w:r>
      <w:r w:rsidR="00D161D3">
        <w:t xml:space="preserve"> en ligne sur le site </w:t>
      </w:r>
      <w:r>
        <w:t>de la</w:t>
      </w:r>
      <w:r w:rsidR="00D161D3">
        <w:t xml:space="preserve"> </w:t>
      </w:r>
      <w:r w:rsidR="00F8379C">
        <w:t>scolarité</w:t>
      </w:r>
      <w:r>
        <w:t xml:space="preserve"> doctorat</w:t>
      </w:r>
      <w:r w:rsidR="00D161D3">
        <w:t xml:space="preserve">. </w:t>
      </w:r>
    </w:p>
    <w:p w:rsidR="00A22FCA" w:rsidRDefault="00A22FCA" w:rsidP="00B77F95">
      <w:pPr>
        <w:spacing w:after="0"/>
        <w:rPr>
          <w:b/>
        </w:rPr>
      </w:pPr>
    </w:p>
    <w:p w:rsidR="00A22FCA" w:rsidRDefault="00A22FCA" w:rsidP="00B77F95">
      <w:pPr>
        <w:spacing w:after="0"/>
        <w:rPr>
          <w:b/>
        </w:rPr>
      </w:pPr>
      <w:r>
        <w:rPr>
          <w:b/>
        </w:rPr>
        <w:t>Conditions à remplir :</w:t>
      </w:r>
    </w:p>
    <w:p w:rsidR="00A22FCA" w:rsidRDefault="00A22FCA" w:rsidP="00B77F95">
      <w:pPr>
        <w:spacing w:after="0"/>
        <w:rPr>
          <w:b/>
        </w:rPr>
      </w:pPr>
    </w:p>
    <w:p w:rsidR="0050663F" w:rsidRPr="0050663F" w:rsidRDefault="0050663F" w:rsidP="0000283B">
      <w:pPr>
        <w:pStyle w:val="Sansinterligne"/>
        <w:spacing w:after="40"/>
        <w:jc w:val="both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1/ Justifier</w:t>
      </w:r>
      <w:r w:rsidRPr="0050663F">
        <w:rPr>
          <w:rFonts w:asciiTheme="minorHAnsi" w:eastAsiaTheme="minorHAnsi" w:hAnsiTheme="minorHAnsi" w:cstheme="minorBidi"/>
        </w:rPr>
        <w:t xml:space="preserve"> d’une période d’au moins un trimestre passé dans un pays hors </w:t>
      </w:r>
      <w:r>
        <w:rPr>
          <w:rFonts w:asciiTheme="minorHAnsi" w:eastAsiaTheme="minorHAnsi" w:hAnsiTheme="minorHAnsi" w:cstheme="minorBidi"/>
        </w:rPr>
        <w:t>France. L</w:t>
      </w:r>
      <w:r w:rsidRPr="0050663F">
        <w:rPr>
          <w:rFonts w:asciiTheme="minorHAnsi" w:eastAsiaTheme="minorHAnsi" w:hAnsiTheme="minorHAnsi" w:cstheme="minorBidi"/>
        </w:rPr>
        <w:t>es séjours fractionnés peuvent être comptabilisés si plusieurs séjours d’au moins 30 jours consécutifs ont été effectués dans le/les pays</w:t>
      </w:r>
      <w:r>
        <w:rPr>
          <w:rFonts w:asciiTheme="minorHAnsi" w:eastAsiaTheme="minorHAnsi" w:hAnsiTheme="minorHAnsi" w:cstheme="minorBidi"/>
        </w:rPr>
        <w:t xml:space="preserve"> (joindre attestation de séjour) ;</w:t>
      </w:r>
    </w:p>
    <w:p w:rsidR="0050663F" w:rsidRPr="0050663F" w:rsidRDefault="0050663F" w:rsidP="0000283B">
      <w:pPr>
        <w:pStyle w:val="Sansinterligne"/>
        <w:jc w:val="both"/>
        <w:rPr>
          <w:rFonts w:asciiTheme="minorHAnsi" w:eastAsiaTheme="minorHAnsi" w:hAnsiTheme="minorHAnsi" w:cstheme="minorBidi"/>
        </w:rPr>
      </w:pPr>
    </w:p>
    <w:p w:rsidR="0050663F" w:rsidRPr="0050663F" w:rsidRDefault="0050663F" w:rsidP="0000283B">
      <w:pPr>
        <w:pStyle w:val="Sansinterligne"/>
        <w:jc w:val="both"/>
        <w:rPr>
          <w:rFonts w:asciiTheme="minorHAnsi" w:eastAsiaTheme="minorHAnsi" w:hAnsiTheme="minorHAnsi" w:cstheme="minorBidi"/>
        </w:rPr>
      </w:pPr>
      <w:r w:rsidRPr="0050663F">
        <w:rPr>
          <w:rFonts w:asciiTheme="minorHAnsi" w:eastAsiaTheme="minorHAnsi" w:hAnsiTheme="minorHAnsi" w:cstheme="minorBidi"/>
        </w:rPr>
        <w:t xml:space="preserve">2/ </w:t>
      </w:r>
      <w:r>
        <w:rPr>
          <w:rFonts w:asciiTheme="minorHAnsi" w:eastAsiaTheme="minorHAnsi" w:hAnsiTheme="minorHAnsi" w:cstheme="minorBidi"/>
        </w:rPr>
        <w:t>Effectuer</w:t>
      </w:r>
      <w:r w:rsidRPr="0050663F">
        <w:rPr>
          <w:rFonts w:asciiTheme="minorHAnsi" w:eastAsiaTheme="minorHAnsi" w:hAnsiTheme="minorHAnsi" w:cstheme="minorBidi"/>
        </w:rPr>
        <w:t xml:space="preserve"> une partie de la soutenance dans une langue autre que le français ;</w:t>
      </w:r>
    </w:p>
    <w:p w:rsidR="0050663F" w:rsidRPr="0050663F" w:rsidRDefault="0050663F" w:rsidP="0000283B">
      <w:pPr>
        <w:pStyle w:val="Sansinterligne"/>
        <w:jc w:val="both"/>
        <w:rPr>
          <w:rFonts w:asciiTheme="minorHAnsi" w:eastAsiaTheme="minorHAnsi" w:hAnsiTheme="minorHAnsi" w:cstheme="minorBidi"/>
        </w:rPr>
      </w:pPr>
    </w:p>
    <w:p w:rsidR="0050663F" w:rsidRPr="0050663F" w:rsidRDefault="0050663F" w:rsidP="0000283B">
      <w:pPr>
        <w:pStyle w:val="Sansinterligne"/>
        <w:jc w:val="both"/>
        <w:rPr>
          <w:rFonts w:asciiTheme="minorHAnsi" w:eastAsiaTheme="minorHAnsi" w:hAnsiTheme="minorHAnsi" w:cstheme="minorBidi"/>
        </w:rPr>
      </w:pPr>
      <w:r w:rsidRPr="0050663F">
        <w:rPr>
          <w:rFonts w:asciiTheme="minorHAnsi" w:eastAsiaTheme="minorHAnsi" w:hAnsiTheme="minorHAnsi" w:cstheme="minorBidi"/>
        </w:rPr>
        <w:t>3/ Un membre au moins du jury appartient à un établissement d’enseignement supérieur d’un pays hors F</w:t>
      </w:r>
      <w:r w:rsidR="0000283B">
        <w:rPr>
          <w:rFonts w:asciiTheme="minorHAnsi" w:eastAsiaTheme="minorHAnsi" w:hAnsiTheme="minorHAnsi" w:cstheme="minorBidi"/>
        </w:rPr>
        <w:t>rance (joindre la composition du jury) ;</w:t>
      </w:r>
    </w:p>
    <w:p w:rsidR="0050663F" w:rsidRPr="0050663F" w:rsidRDefault="0050663F" w:rsidP="0000283B">
      <w:pPr>
        <w:pStyle w:val="Sansinterligne"/>
        <w:jc w:val="both"/>
        <w:rPr>
          <w:rFonts w:asciiTheme="minorHAnsi" w:eastAsiaTheme="minorHAnsi" w:hAnsiTheme="minorHAnsi" w:cstheme="minorBidi"/>
        </w:rPr>
      </w:pPr>
    </w:p>
    <w:p w:rsidR="0050663F" w:rsidRPr="0050663F" w:rsidRDefault="0050663F" w:rsidP="0000283B">
      <w:pPr>
        <w:jc w:val="both"/>
      </w:pPr>
      <w:r w:rsidRPr="0050663F">
        <w:t xml:space="preserve">4/ L’autorisation de soutenance </w:t>
      </w:r>
      <w:r w:rsidR="0000283B">
        <w:t>est</w:t>
      </w:r>
      <w:r w:rsidRPr="0050663F">
        <w:t xml:space="preserve"> accordée au vu des rapports rédigés par au moins deux chercheurs ou enseignants chercheurs rattachés à des établissements d’enseignement supérieur de deux Etats distincts hors France (hors cotutelle) ; </w:t>
      </w:r>
    </w:p>
    <w:p w:rsidR="00A22FCA" w:rsidRDefault="0050663F" w:rsidP="009A43F8">
      <w:pPr>
        <w:pStyle w:val="Sansinterligne"/>
        <w:jc w:val="both"/>
        <w:rPr>
          <w:b/>
        </w:rPr>
      </w:pPr>
      <w:r w:rsidRPr="0050663F">
        <w:rPr>
          <w:rFonts w:asciiTheme="minorHAnsi" w:eastAsiaTheme="minorHAnsi" w:hAnsiTheme="minorHAnsi" w:cstheme="minorBidi"/>
        </w:rPr>
        <w:t xml:space="preserve">5/ La langue de rédaction du manuscrit de thèse </w:t>
      </w:r>
      <w:r w:rsidR="00D37829">
        <w:rPr>
          <w:rFonts w:asciiTheme="minorHAnsi" w:eastAsiaTheme="minorHAnsi" w:hAnsiTheme="minorHAnsi" w:cstheme="minorBidi"/>
        </w:rPr>
        <w:t xml:space="preserve">doit </w:t>
      </w:r>
      <w:r w:rsidRPr="0050663F">
        <w:rPr>
          <w:rFonts w:asciiTheme="minorHAnsi" w:eastAsiaTheme="minorHAnsi" w:hAnsiTheme="minorHAnsi" w:cstheme="minorBidi"/>
        </w:rPr>
        <w:t>respecte</w:t>
      </w:r>
      <w:r w:rsidR="00D37829">
        <w:rPr>
          <w:rFonts w:asciiTheme="minorHAnsi" w:eastAsiaTheme="minorHAnsi" w:hAnsiTheme="minorHAnsi" w:cstheme="minorBidi"/>
        </w:rPr>
        <w:t>r</w:t>
      </w:r>
      <w:r w:rsidRPr="0050663F">
        <w:rPr>
          <w:rFonts w:asciiTheme="minorHAnsi" w:eastAsiaTheme="minorHAnsi" w:hAnsiTheme="minorHAnsi" w:cstheme="minorBidi"/>
        </w:rPr>
        <w:t xml:space="preserve"> les règles fixées par l’établissement </w:t>
      </w:r>
      <w:proofErr w:type="gramStart"/>
      <w:r w:rsidRPr="0050663F">
        <w:rPr>
          <w:rFonts w:asciiTheme="minorHAnsi" w:eastAsiaTheme="minorHAnsi" w:hAnsiTheme="minorHAnsi" w:cstheme="minorBidi"/>
        </w:rPr>
        <w:t>d’inscription</w:t>
      </w:r>
      <w:proofErr w:type="gramEnd"/>
      <w:r w:rsidRPr="0050663F">
        <w:rPr>
          <w:rFonts w:asciiTheme="minorHAnsi" w:eastAsiaTheme="minorHAnsi" w:hAnsiTheme="minorHAnsi" w:cstheme="minorBidi"/>
        </w:rPr>
        <w:t xml:space="preserve"> en thèse et/ou l’école doctorale</w:t>
      </w:r>
      <w:r w:rsidR="00F05254" w:rsidRPr="007D0AE6">
        <w:rPr>
          <w:rStyle w:val="Appeldenotedefin"/>
          <w:rFonts w:ascii="Roboto" w:hAnsi="Roboto"/>
          <w:sz w:val="14"/>
        </w:rPr>
        <w:footnoteRef/>
      </w:r>
      <w:r w:rsidRPr="0050663F">
        <w:rPr>
          <w:rFonts w:asciiTheme="minorHAnsi" w:eastAsiaTheme="minorHAnsi" w:hAnsiTheme="minorHAnsi" w:cstheme="minorBidi"/>
        </w:rPr>
        <w:t xml:space="preserve">. </w:t>
      </w:r>
    </w:p>
    <w:p w:rsidR="00A22FCA" w:rsidRDefault="00A22FCA" w:rsidP="00B77F95">
      <w:pPr>
        <w:spacing w:after="0"/>
        <w:rPr>
          <w:b/>
        </w:rPr>
      </w:pPr>
    </w:p>
    <w:p w:rsidR="00A22FCA" w:rsidRDefault="00A22FCA" w:rsidP="00B77F95">
      <w:pPr>
        <w:spacing w:after="0"/>
        <w:rPr>
          <w:b/>
        </w:rPr>
      </w:pPr>
    </w:p>
    <w:sectPr w:rsidR="00A22FC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292F" w:rsidRDefault="00C2292F" w:rsidP="00F05254">
      <w:pPr>
        <w:spacing w:after="0" w:line="240" w:lineRule="auto"/>
      </w:pPr>
      <w:r>
        <w:separator/>
      </w:r>
    </w:p>
  </w:endnote>
  <w:endnote w:type="continuationSeparator" w:id="0">
    <w:p w:rsidR="00C2292F" w:rsidRDefault="00C2292F" w:rsidP="00F05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1C7A" w:rsidRPr="007D0AE6" w:rsidRDefault="00DD1C7A" w:rsidP="00DD1C7A">
    <w:pPr>
      <w:pStyle w:val="Notedefin"/>
      <w:rPr>
        <w:sz w:val="16"/>
      </w:rPr>
    </w:pPr>
    <w:r w:rsidRPr="00DF5FC7">
      <w:rPr>
        <w:rFonts w:ascii="Roboto" w:hAnsi="Roboto" w:cs="Arial"/>
        <w:sz w:val="14"/>
        <w:vertAlign w:val="superscript"/>
      </w:rPr>
      <w:footnoteRef/>
    </w:r>
    <w:r w:rsidRPr="007D0AE6">
      <w:rPr>
        <w:rFonts w:ascii="Roboto" w:hAnsi="Roboto" w:cs="Arial"/>
        <w:sz w:val="14"/>
      </w:rPr>
      <w:t xml:space="preserve"> : L’attribution du supplément au diplôme de doctorat se concrétise par la délivrance d’une attestation fournie par l’établissement opérateur. </w:t>
    </w:r>
  </w:p>
  <w:p w:rsidR="00DD1C7A" w:rsidRPr="0028749B" w:rsidRDefault="00DD1C7A" w:rsidP="00DD1C7A">
    <w:pPr>
      <w:pStyle w:val="Notedefin"/>
      <w:rPr>
        <w:rFonts w:ascii="Roboto" w:hAnsi="Roboto"/>
      </w:rPr>
    </w:pPr>
    <w:r w:rsidRPr="007D0AE6">
      <w:rPr>
        <w:rStyle w:val="Appeldenotedefin"/>
        <w:rFonts w:ascii="Roboto" w:hAnsi="Roboto"/>
        <w:sz w:val="14"/>
      </w:rPr>
      <w:footnoteRef/>
    </w:r>
    <w:r w:rsidRPr="007D0AE6">
      <w:rPr>
        <w:rFonts w:ascii="Roboto" w:hAnsi="Roboto"/>
        <w:sz w:val="14"/>
      </w:rPr>
      <w:t xml:space="preserve"> Conformément à l’article </w:t>
    </w:r>
    <w:r w:rsidRPr="007D0AE6">
      <w:rPr>
        <w:rFonts w:ascii="Roboto" w:hAnsi="Roboto" w:cs="Arial"/>
        <w:sz w:val="14"/>
      </w:rPr>
      <w:t xml:space="preserve">21 de l’arrêté du 25 mai 2016 fixant le cadre national de la formation et les modalités conduisant à la délivrance du diplôme national de doctorat. </w:t>
    </w:r>
  </w:p>
  <w:p w:rsidR="00F05254" w:rsidRDefault="00F05254">
    <w:pPr>
      <w:pStyle w:val="Pieddepage"/>
    </w:pPr>
  </w:p>
  <w:p w:rsidR="00F05254" w:rsidRDefault="00F0525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292F" w:rsidRDefault="00C2292F" w:rsidP="00F05254">
      <w:pPr>
        <w:spacing w:after="0" w:line="240" w:lineRule="auto"/>
      </w:pPr>
      <w:r>
        <w:separator/>
      </w:r>
    </w:p>
  </w:footnote>
  <w:footnote w:type="continuationSeparator" w:id="0">
    <w:p w:rsidR="00C2292F" w:rsidRDefault="00C2292F" w:rsidP="00F052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5F4EE5"/>
    <w:multiLevelType w:val="hybridMultilevel"/>
    <w:tmpl w:val="366C26F8"/>
    <w:lvl w:ilvl="0" w:tplc="9230DE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1B16"/>
    <w:rsid w:val="0000283B"/>
    <w:rsid w:val="00082854"/>
    <w:rsid w:val="000E5C3C"/>
    <w:rsid w:val="001F0C71"/>
    <w:rsid w:val="00277257"/>
    <w:rsid w:val="0050663F"/>
    <w:rsid w:val="00581848"/>
    <w:rsid w:val="005C7914"/>
    <w:rsid w:val="006C45A3"/>
    <w:rsid w:val="00891B16"/>
    <w:rsid w:val="00926B39"/>
    <w:rsid w:val="009A2FD8"/>
    <w:rsid w:val="009A43F8"/>
    <w:rsid w:val="00A22FCA"/>
    <w:rsid w:val="00A24D60"/>
    <w:rsid w:val="00AD4A9E"/>
    <w:rsid w:val="00B77F95"/>
    <w:rsid w:val="00BA3139"/>
    <w:rsid w:val="00C2292F"/>
    <w:rsid w:val="00D161D3"/>
    <w:rsid w:val="00D37829"/>
    <w:rsid w:val="00D744D5"/>
    <w:rsid w:val="00DC043B"/>
    <w:rsid w:val="00DD1C7A"/>
    <w:rsid w:val="00F05254"/>
    <w:rsid w:val="00F8379C"/>
    <w:rsid w:val="00FE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95DA4B-D9B0-47E9-8EDD-9C8821120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26B39"/>
    <w:pPr>
      <w:ind w:left="720"/>
      <w:contextualSpacing/>
    </w:pPr>
  </w:style>
  <w:style w:type="paragraph" w:styleId="Sansinterligne">
    <w:name w:val="No Spacing"/>
    <w:uiPriority w:val="1"/>
    <w:qFormat/>
    <w:rsid w:val="0050663F"/>
    <w:pPr>
      <w:spacing w:after="0" w:line="240" w:lineRule="auto"/>
    </w:pPr>
    <w:rPr>
      <w:rFonts w:ascii="Calibri" w:eastAsia="Calibri" w:hAnsi="Calibri" w:cs="Times New Roman"/>
    </w:rPr>
  </w:style>
  <w:style w:type="character" w:styleId="Appeldenotedefin">
    <w:name w:val="endnote reference"/>
    <w:uiPriority w:val="99"/>
    <w:semiHidden/>
    <w:unhideWhenUsed/>
    <w:rsid w:val="00F05254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F052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05254"/>
  </w:style>
  <w:style w:type="paragraph" w:styleId="Pieddepage">
    <w:name w:val="footer"/>
    <w:basedOn w:val="Normal"/>
    <w:link w:val="PieddepageCar"/>
    <w:uiPriority w:val="99"/>
    <w:unhideWhenUsed/>
    <w:rsid w:val="00F052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05254"/>
  </w:style>
  <w:style w:type="paragraph" w:styleId="Notedefin">
    <w:name w:val="endnote text"/>
    <w:basedOn w:val="Normal"/>
    <w:link w:val="NotedefinCar"/>
    <w:uiPriority w:val="99"/>
    <w:semiHidden/>
    <w:unhideWhenUsed/>
    <w:rsid w:val="00DD1C7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DD1C7A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universite-lyon.fr</Company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 Bousset</dc:creator>
  <cp:keywords/>
  <dc:description/>
  <cp:lastModifiedBy>PIGNARD Francette</cp:lastModifiedBy>
  <cp:revision>3</cp:revision>
  <dcterms:created xsi:type="dcterms:W3CDTF">2019-03-12T16:56:00Z</dcterms:created>
  <dcterms:modified xsi:type="dcterms:W3CDTF">2023-04-11T15:42:00Z</dcterms:modified>
</cp:coreProperties>
</file>